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LinkedIn copy - Remarketing | General | V1</w:t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HEADER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Why smart remarketing is the next competitive edge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BODY COPY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vehicle’s value doesn’t end when the first lease contract expires. Indeed, this marks the start of an entirely new phase. The used car market is booming, outpacing new car sales by a significant margin, and a staggering 83% of fleet companies are already utilising or intend to incorporate used vehicles. Remarketing has therefore shifted, evolving from a behind-the-scenes operation into a key player in driving growth. KINTO is at the forefront of this change, reshaping end-of-lease vehicles into the cornerstone of flexible, cost-effective second-cycle mobility solutions.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SUBHEAD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Rule="auto"/>
        <w:rPr>
          <w:rFonts w:ascii="Arial" w:cs="Arial" w:eastAsia="Arial" w:hAnsi="Arial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From cost centre to profit engine</w:t>
      </w:r>
    </w:p>
    <w:p w:rsidR="00000000" w:rsidDel="00000000" w:rsidP="00000000" w:rsidRDefault="00000000" w:rsidRPr="00000000" w14:paraId="00000009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BODY COPY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Traditionally, remarketing meant disposing of assets as quickly as possible. KINTO takes a fundamentally different approach. By combining residual value expertise with data-driven pricing, we protect profitability and unlock new revenue streams. Turning what was once a cost into a genuine profit centre.</w:t>
      </w:r>
    </w:p>
    <w:p w:rsidR="00000000" w:rsidDel="00000000" w:rsidP="00000000" w:rsidRDefault="00000000" w:rsidRPr="00000000" w14:paraId="0000000B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SUBHEAD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80" w:before="280" w:lineRule="auto"/>
        <w:rPr>
          <w:rFonts w:ascii="Arial" w:cs="Arial" w:eastAsia="Arial" w:hAnsi="Arial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Three pillars of smart remarketing</w:t>
      </w:r>
    </w:p>
    <w:p w:rsidR="00000000" w:rsidDel="00000000" w:rsidP="00000000" w:rsidRDefault="00000000" w:rsidRPr="00000000" w14:paraId="0000000D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BODY COPY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&gt; Customer mobility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Strong remarketing feeds short-term, flexible mobility products with competitive pricing. From 24-month used leases to KINTO Flex and KINTO Share, we ensure that customers remain mobile throughout every stage of the vehicle lifecycle.</w:t>
      </w:r>
    </w:p>
    <w:p w:rsidR="00000000" w:rsidDel="00000000" w:rsidP="00000000" w:rsidRDefault="00000000" w:rsidRPr="00000000" w14:paraId="00000010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Residual Value Control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In a volatile market shaped by the energy transition, effective management of residual value is crucial. High-quality data and proactive defleet planning are essential strategies for safeguarding profit margins and expediting time-to-market.</w:t>
      </w:r>
    </w:p>
    <w:p w:rsidR="00000000" w:rsidDel="00000000" w:rsidP="00000000" w:rsidRDefault="00000000" w:rsidRPr="00000000" w14:paraId="00000012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Asset Monetisation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Why limit the sale of a vehicle to a single transaction when it can create value across multiple cycles? At KINTO we maximise total lifetime revenue by rotating vehicles through leasing, renting, and digital sales channels. </w:t>
      </w:r>
    </w:p>
    <w:p w:rsidR="00000000" w:rsidDel="00000000" w:rsidP="00000000" w:rsidRDefault="00000000" w:rsidRPr="00000000" w14:paraId="00000014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SUBHEAD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80" w:before="280" w:lineRule="auto"/>
        <w:rPr>
          <w:rFonts w:ascii="Arial" w:cs="Arial" w:eastAsia="Arial" w:hAnsi="Arial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One digital platform, full control</w:t>
      </w:r>
    </w:p>
    <w:p w:rsidR="00000000" w:rsidDel="00000000" w:rsidP="00000000" w:rsidRDefault="00000000" w:rsidRPr="00000000" w14:paraId="00000016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BODY COPY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KINTO is rolling out a single integrated system covering the entire remarketing chain: from inventory management and automated pricing to digital sales, including Click &amp; Buy, auctions and package deals. The goal? Minimise stock turn time, maximise remarketing profit and enable active stock rotation across markets and channels.</w:t>
      </w:r>
    </w:p>
    <w:p w:rsidR="00000000" w:rsidDel="00000000" w:rsidP="00000000" w:rsidRDefault="00000000" w:rsidRPr="00000000" w14:paraId="00000018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SUBHEAD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80" w:before="280" w:lineRule="auto"/>
        <w:rPr>
          <w:rFonts w:ascii="Arial" w:cs="Arial" w:eastAsia="Arial" w:hAnsi="Arial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The bottom line: remarketing is the future of fleet mobility.</w:t>
      </w:r>
    </w:p>
    <w:p w:rsidR="00000000" w:rsidDel="00000000" w:rsidP="00000000" w:rsidRDefault="00000000" w:rsidRPr="00000000" w14:paraId="0000001A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BODY COPY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The shift from asset disposal to digital, customer-centric remarketing is not optional. It’s essential. AT KINTO we build dedicated teams for B2C digital sales, customer engagement and second-cycle mobility, ensuring that the experience of driving a used vehicle meets the same high standards as a new one. Whether through proactive defleet planning, more intelligent pricing strategies, or an effortless customer journey, we are transforming remarketing into a significant competitive advantage. How is your organisation capturing the second-cycle opportunity? Let’s discuss.</w:t>
      </w:r>
    </w:p>
    <w:p w:rsidR="00000000" w:rsidDel="00000000" w:rsidP="00000000" w:rsidRDefault="00000000" w:rsidRPr="00000000" w14:paraId="0000001C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ENDS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481455" cy="364490"/>
              <wp:effectExtent b="0" l="0" r="0" t="0"/>
              <wp:wrapNone/>
              <wp:docPr descr="•• PROTECTED 関係者外秘" id="187536631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610035" y="3602518"/>
                        <a:ext cx="147193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MS UI Gothic" w:cs="MS UI Gothic" w:eastAsia="MS UI Gothic" w:hAnsi="MS UI Gothic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•• PROTECTED 関係者外秘</w:t>
                          </w:r>
                        </w:p>
                      </w:txbxContent>
                    </wps:txbx>
                    <wps:bodyPr anchorCtr="0" anchor="t" bIns="0" lIns="0" spcFirstLastPara="1" rIns="0" wrap="square" tIns="190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481455" cy="364490"/>
              <wp:effectExtent b="0" l="0" r="0" t="0"/>
              <wp:wrapNone/>
              <wp:docPr descr="•• PROTECTED 関係者外秘" id="1875366311" name="image2.png"/>
              <a:graphic>
                <a:graphicData uri="http://schemas.openxmlformats.org/drawingml/2006/picture">
                  <pic:pic>
                    <pic:nvPicPr>
                      <pic:cNvPr descr="•• PROTECTED 関係者外秘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81455" cy="3644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481455" cy="364490"/>
              <wp:effectExtent b="0" l="0" r="0" t="0"/>
              <wp:wrapNone/>
              <wp:docPr descr="•• PROTECTED 関係者外秘" id="1875366312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610035" y="3602518"/>
                        <a:ext cx="147193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MS UI Gothic" w:cs="MS UI Gothic" w:eastAsia="MS UI Gothic" w:hAnsi="MS UI Gothic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•• PROTECTED 関係者外秘</w:t>
                          </w:r>
                        </w:p>
                      </w:txbxContent>
                    </wps:txbx>
                    <wps:bodyPr anchorCtr="0" anchor="t" bIns="0" lIns="0" spcFirstLastPara="1" rIns="0" wrap="square" tIns="190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481455" cy="364490"/>
              <wp:effectExtent b="0" l="0" r="0" t="0"/>
              <wp:wrapNone/>
              <wp:docPr descr="•• PROTECTED 関係者外秘" id="1875366312" name="image3.png"/>
              <a:graphic>
                <a:graphicData uri="http://schemas.openxmlformats.org/drawingml/2006/picture">
                  <pic:pic>
                    <pic:nvPicPr>
                      <pic:cNvPr descr="•• PROTECTED 関係者外秘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81455" cy="3644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481455" cy="364490"/>
              <wp:effectExtent b="0" l="0" r="0" t="0"/>
              <wp:wrapNone/>
              <wp:docPr descr="•• PROTECTED 関係者外秘" id="187536631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10035" y="3602518"/>
                        <a:ext cx="147193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MS UI Gothic" w:cs="MS UI Gothic" w:eastAsia="MS UI Gothic" w:hAnsi="MS UI Gothic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•• PROTECTED 関係者外秘</w:t>
                          </w:r>
                        </w:p>
                      </w:txbxContent>
                    </wps:txbx>
                    <wps:bodyPr anchorCtr="0" anchor="t" bIns="0" lIns="0" spcFirstLastPara="1" rIns="0" wrap="square" tIns="190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481455" cy="364490"/>
              <wp:effectExtent b="0" l="0" r="0" t="0"/>
              <wp:wrapNone/>
              <wp:docPr descr="•• PROTECTED 関係者外秘" id="1875366310" name="image1.png"/>
              <a:graphic>
                <a:graphicData uri="http://schemas.openxmlformats.org/drawingml/2006/picture">
                  <pic:pic>
                    <pic:nvPicPr>
                      <pic:cNvPr descr="•• PROTECTED 関係者外秘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81455" cy="3644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A34EB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A34EB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A34EB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A34EB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1A34EB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A34EB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A34EB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A34EB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A34EB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A34EB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A34EB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A34EB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1A34E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1A34E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A34EB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1A34EB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1A34EB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1A34EB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A34E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A34EB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1A34EB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1A34EB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nl-NL"/>
    </w:rPr>
  </w:style>
  <w:style w:type="character" w:styleId="Strong">
    <w:name w:val="Strong"/>
    <w:basedOn w:val="DefaultParagraphFont"/>
    <w:uiPriority w:val="22"/>
    <w:qFormat w:val="1"/>
    <w:rsid w:val="001A34EB"/>
    <w:rPr>
      <w:b w:val="1"/>
      <w:bCs w:val="1"/>
    </w:rPr>
  </w:style>
  <w:style w:type="character" w:styleId="apple-converted-space" w:customStyle="1">
    <w:name w:val="apple-converted-space"/>
    <w:basedOn w:val="DefaultParagraphFont"/>
    <w:rsid w:val="001A34EB"/>
  </w:style>
  <w:style w:type="paragraph" w:styleId="Header">
    <w:name w:val="header"/>
    <w:basedOn w:val="Normal"/>
    <w:link w:val="HeaderChar"/>
    <w:uiPriority w:val="99"/>
    <w:unhideWhenUsed w:val="1"/>
    <w:rsid w:val="00417E8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17E89"/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mkyCeVk0UsVHwjwOoPy00xbc/g==">CgMxLjA4AHIhMXdsczV4REpKU2N2N3lqZFN2cTAtdHJsUGJ5czAtR1J4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2026-03-06T12:34:00Z</dcterms:created>
  <dc:creator>Ivan Bultiauw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3ad02857,6fc7d1a5,52a8c14c</vt:lpwstr>
  </property>
  <property fmtid="{D5CDD505-2E9C-101B-9397-08002B2CF9AE}" pid="3" name="ClassificationContentMarkingHeaderFontProps">
    <vt:lpwstr>#000000,10,MS UI Gothic</vt:lpwstr>
  </property>
  <property fmtid="{D5CDD505-2E9C-101B-9397-08002B2CF9AE}" pid="4" name="ClassificationContentMarkingHeaderText">
    <vt:lpwstr>•• PROTECTED 関係者外秘</vt:lpwstr>
  </property>
  <property fmtid="{D5CDD505-2E9C-101B-9397-08002B2CF9AE}" pid="5" name="MSIP_Label_d9544d3e-f761-46b2-881e-fd08f3b12f65_Enabled">
    <vt:lpwstr>true</vt:lpwstr>
  </property>
  <property fmtid="{D5CDD505-2E9C-101B-9397-08002B2CF9AE}" pid="6" name="MSIP_Label_d9544d3e-f761-46b2-881e-fd08f3b12f65_SetDate">
    <vt:lpwstr>2026-03-06T12:34:02Z</vt:lpwstr>
  </property>
  <property fmtid="{D5CDD505-2E9C-101B-9397-08002B2CF9AE}" pid="7" name="MSIP_Label_d9544d3e-f761-46b2-881e-fd08f3b12f65_Method">
    <vt:lpwstr>Standard</vt:lpwstr>
  </property>
  <property fmtid="{D5CDD505-2E9C-101B-9397-08002B2CF9AE}" pid="8" name="MSIP_Label_d9544d3e-f761-46b2-881e-fd08f3b12f65_Name">
    <vt:lpwstr>Protected</vt:lpwstr>
  </property>
  <property fmtid="{D5CDD505-2E9C-101B-9397-08002B2CF9AE}" pid="9" name="MSIP_Label_d9544d3e-f761-46b2-881e-fd08f3b12f65_SiteId">
    <vt:lpwstr>52b742d1-3dc2-47ac-bf03-609c83d9df9f</vt:lpwstr>
  </property>
  <property fmtid="{D5CDD505-2E9C-101B-9397-08002B2CF9AE}" pid="10" name="MSIP_Label_d9544d3e-f761-46b2-881e-fd08f3b12f65_ActionId">
    <vt:lpwstr>74babd54-86d9-40ff-8c77-811562081b9b</vt:lpwstr>
  </property>
  <property fmtid="{D5CDD505-2E9C-101B-9397-08002B2CF9AE}" pid="11" name="MSIP_Label_d9544d3e-f761-46b2-881e-fd08f3b12f65_ContentBits">
    <vt:lpwstr>1</vt:lpwstr>
  </property>
  <property fmtid="{D5CDD505-2E9C-101B-9397-08002B2CF9AE}" pid="12" name="MSIP_Label_d9544d3e-f761-46b2-881e-fd08f3b12f65_Tag">
    <vt:lpwstr>10, 3, 0, 1</vt:lpwstr>
  </property>
</Properties>
</file>